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690560FB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CA6400" w:rsidRPr="00CA6400">
              <w:rPr>
                <w:b/>
                <w:bCs/>
                <w:sz w:val="24"/>
                <w:szCs w:val="24"/>
              </w:rPr>
              <w:t xml:space="preserve">RAZVOJ INSTITUCIJA NAUKE I PODSTICAJ NIR OD ZNAČAJA ZA </w:t>
            </w:r>
            <w:r w:rsidRPr="00A40C84">
              <w:rPr>
                <w:b/>
                <w:bCs/>
                <w:sz w:val="24"/>
                <w:szCs w:val="24"/>
              </w:rPr>
              <w:t>FEDERACIJU BIH</w:t>
            </w:r>
          </w:p>
          <w:p w14:paraId="1390DDC9" w14:textId="607B79FD" w:rsidR="00A40C84" w:rsidRP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za </w:t>
            </w:r>
            <w:r w:rsidR="00CA6400" w:rsidRPr="00CA6400">
              <w:rPr>
                <w:b/>
                <w:bCs/>
                <w:sz w:val="24"/>
                <w:szCs w:val="24"/>
              </w:rPr>
              <w:t xml:space="preserve">finansiranje/sufinansiranje naučno-istraživačkih i istraživačko-razvojnih projekata u Federaciji Bosne i Hercegovine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43765485" w14:textId="62A64212" w:rsidR="008A43F2" w:rsidRDefault="00072C5F" w:rsidP="00531CAA">
            <w:r w:rsidRPr="00072C5F">
              <w:t>Unapređivati naučno-istraživačku i istraživačko-razvojnu djelatnost u Federaciji BiH.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62147F08" w14:textId="77777777" w:rsidR="00CA6400" w:rsidRDefault="00CA6400" w:rsidP="00531CAA"/>
          <w:p w14:paraId="3A5A48AC" w14:textId="34A2BC09" w:rsidR="00DD3831" w:rsidRDefault="00CA6400" w:rsidP="00531CAA">
            <w:r w:rsidRPr="00CA6400">
              <w:t>Podrška razvoju naučno-istraživačke i istraživačko-razvojne djelatnosti u Federaciji BiH, realizacija projekata koji predstavljaju izvor novih naučnih ideja i doprinose razvoju naučne misli, popularizacija naučno-istraživačkog i istraživačko-razvojnog rada, promocija rezultata naučno-istraživačkog i istraživačko-razvojnog rada. Podrška projektima inovacija i digitalizacije, digitalnih podataka, mašinskog učenja i umjetne inteligencije. Stvaranje ambijenta koji omogućava i potiče saradnju privrede i istraživačke zajednice, te uključivanje privrede, univerziteta i naučnih ustanova u zajedničke projekte i procese pametne specijalizacije. Podrška projektima digitalne transformacije u skladu sa EU strategijom: Digitalno desetljeće Evrope. Podrška projektima energijske tranzicije u skladu sa Zelenom agendom za zapadni Balkan.</w:t>
            </w:r>
          </w:p>
          <w:p w14:paraId="3F0DED95" w14:textId="37FB2F81" w:rsidR="00CA6400" w:rsidRDefault="00CA6400" w:rsidP="00531CAA"/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1321231B" w14:textId="54A946F1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>U</w:t>
            </w:r>
            <w:r w:rsidR="00CA6400">
              <w:rPr>
                <w:b/>
                <w:bCs/>
              </w:rPr>
              <w:t>kupna vrijednost Programa: 1.0</w:t>
            </w:r>
            <w:r w:rsidRPr="00962FDE">
              <w:rPr>
                <w:b/>
                <w:bCs/>
              </w:rPr>
              <w:t>00.000,00 KM</w:t>
            </w:r>
          </w:p>
          <w:p w14:paraId="67D2C76B" w14:textId="77777777" w:rsidR="00CA6400" w:rsidRDefault="00CA6400" w:rsidP="00531CAA"/>
          <w:p w14:paraId="0223CAC7" w14:textId="34ACE4D0" w:rsidR="00722A74" w:rsidRDefault="00722A74" w:rsidP="00531CAA">
            <w:r>
              <w:t xml:space="preserve">Iznosi </w:t>
            </w:r>
            <w:r w:rsidRPr="00722A74">
              <w:t xml:space="preserve">predviđeni za pojedine </w:t>
            </w:r>
            <w:r w:rsidR="00CA6400">
              <w:t>naučne</w:t>
            </w:r>
            <w:r w:rsidRPr="00722A74">
              <w:t xml:space="preserve"> oblasti</w:t>
            </w:r>
            <w:r>
              <w:t>:</w:t>
            </w:r>
          </w:p>
          <w:p w14:paraId="4C3A08AF" w14:textId="614F5609" w:rsidR="00722A74" w:rsidRPr="00962FDE" w:rsidRDefault="00CA6400" w:rsidP="00CA6400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oblast</w:t>
            </w:r>
            <w:r w:rsidRPr="00CA6400">
              <w:rPr>
                <w:u w:val="single"/>
              </w:rPr>
              <w:t xml:space="preserve"> tehničkih, biotehničkih i prirodnih nauka, te biomedicine i zdravstva</w:t>
            </w:r>
            <w:r w:rsidR="00722A74" w:rsidRPr="00962FDE">
              <w:rPr>
                <w:u w:val="single"/>
              </w:rPr>
              <w:t xml:space="preserve">: </w:t>
            </w:r>
          </w:p>
          <w:p w14:paraId="3C1868EC" w14:textId="3969EDC6" w:rsidR="00722A74" w:rsidRDefault="00CA6400" w:rsidP="00722A74">
            <w:pPr>
              <w:pStyle w:val="ListParagraph"/>
            </w:pPr>
            <w:r>
              <w:t>maksimalni</w:t>
            </w:r>
            <w:r w:rsidR="00722A74">
              <w:t xml:space="preserve"> iznos</w:t>
            </w:r>
            <w:r>
              <w:t xml:space="preserve"> po projektu: 30.000,00 KM</w:t>
            </w:r>
          </w:p>
          <w:p w14:paraId="7847C0EC" w14:textId="06E73991" w:rsidR="00722A74" w:rsidRPr="00CA6400" w:rsidRDefault="00CA6400" w:rsidP="00CA6400">
            <w:pPr>
              <w:pStyle w:val="ListParagraph"/>
              <w:numPr>
                <w:ilvl w:val="0"/>
                <w:numId w:val="2"/>
              </w:numPr>
              <w:ind w:left="767"/>
              <w:rPr>
                <w:u w:val="single"/>
              </w:rPr>
            </w:pPr>
            <w:r w:rsidRPr="00CA6400">
              <w:rPr>
                <w:u w:val="single"/>
              </w:rPr>
              <w:t>oblast društvenih i humanističkih nauka</w:t>
            </w:r>
            <w:r>
              <w:rPr>
                <w:u w:val="single"/>
              </w:rPr>
              <w:t>:</w:t>
            </w:r>
            <w:r w:rsidR="00722A74" w:rsidRPr="00CA6400">
              <w:rPr>
                <w:u w:val="single"/>
              </w:rPr>
              <w:t xml:space="preserve"> </w:t>
            </w:r>
          </w:p>
          <w:p w14:paraId="12F998FF" w14:textId="6DDC3A13" w:rsidR="00722A74" w:rsidRDefault="00CA6400" w:rsidP="00CA6400">
            <w:pPr>
              <w:pStyle w:val="ListParagraph"/>
            </w:pPr>
            <w:r>
              <w:t xml:space="preserve">maksimalni iznos po projektu: </w:t>
            </w:r>
            <w:r>
              <w:t>2</w:t>
            </w:r>
            <w:r>
              <w:t>0.000,00 KM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25B2DF67" w14:textId="77777777" w:rsidR="007D0A86" w:rsidRDefault="007D0A86" w:rsidP="007D0A86">
            <w:pPr>
              <w:pStyle w:val="ListParagraph"/>
              <w:rPr>
                <w:u w:val="single"/>
              </w:rPr>
            </w:pPr>
          </w:p>
          <w:p w14:paraId="6B4653F0" w14:textId="5D1CE346" w:rsidR="007D0A86" w:rsidRPr="007D0A86" w:rsidRDefault="007D0A86" w:rsidP="007D0A86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Pr="007D0A86">
              <w:t xml:space="preserve">aučno-istraživački i istraživačko-razvojni instituti, </w:t>
            </w:r>
          </w:p>
          <w:p w14:paraId="040EFD80" w14:textId="77777777" w:rsidR="007D0A86" w:rsidRPr="007D0A86" w:rsidRDefault="007D0A86" w:rsidP="007D0A86">
            <w:pPr>
              <w:pStyle w:val="ListParagraph"/>
              <w:numPr>
                <w:ilvl w:val="0"/>
                <w:numId w:val="1"/>
              </w:numPr>
            </w:pPr>
            <w:r w:rsidRPr="007D0A86">
              <w:t xml:space="preserve">univerziteti, </w:t>
            </w:r>
          </w:p>
          <w:p w14:paraId="4EDFE34D" w14:textId="77777777" w:rsidR="008A43F2" w:rsidRPr="007D0A86" w:rsidRDefault="007D0A86" w:rsidP="007D0A86">
            <w:pPr>
              <w:pStyle w:val="ListParagraph"/>
              <w:numPr>
                <w:ilvl w:val="0"/>
                <w:numId w:val="1"/>
              </w:numPr>
            </w:pPr>
            <w:r w:rsidRPr="007D0A86">
              <w:t>druga pravna lica registrovana za obavljanje naučno-istraživačkog i istraživačko-razvojnog rada (izuzev fakulteta, akademija i drugih organizacionih jedinica visokoškolskih ustanova koji svoje aplikacije podnose isključi</w:t>
            </w:r>
            <w:r w:rsidRPr="007D0A86">
              <w:t>vo putem matičnih univerziteta)</w:t>
            </w:r>
          </w:p>
          <w:p w14:paraId="6677C825" w14:textId="2839DCFF" w:rsidR="007D0A86" w:rsidRPr="007D0A86" w:rsidRDefault="007D0A86" w:rsidP="007D0A86">
            <w:pPr>
              <w:pStyle w:val="ListParagraph"/>
              <w:rPr>
                <w:u w:val="single"/>
              </w:rPr>
            </w:pP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3847EC77" w:rsidR="008A43F2" w:rsidRDefault="00CD3D81" w:rsidP="007D0A86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5A2969DB" w14:textId="77777777" w:rsidR="007D0A86" w:rsidRPr="00274559" w:rsidRDefault="007D0A86" w:rsidP="007D0A86">
            <w:pPr>
              <w:jc w:val="both"/>
              <w:rPr>
                <w:iCs/>
              </w:rPr>
            </w:pPr>
            <w:r w:rsidRPr="00274559">
              <w:rPr>
                <w:iCs/>
              </w:rPr>
              <w:t>Odobrena sredstva se mogu koristiti:</w:t>
            </w:r>
          </w:p>
          <w:p w14:paraId="61AF7B51" w14:textId="0CF1826B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 w:hanging="283"/>
            </w:pPr>
            <w:r>
              <w:t>F</w:t>
            </w:r>
            <w:r>
              <w:t>inansiranje rada istraživačica/istraživača, konsultanata i vanjskih saradnica/saradnika</w:t>
            </w:r>
          </w:p>
          <w:p w14:paraId="241AC119" w14:textId="14D42B09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 w:hanging="283"/>
            </w:pPr>
            <w:r>
              <w:lastRenderedPageBreak/>
              <w:t>nabavk</w:t>
            </w:r>
            <w:r>
              <w:t>a</w:t>
            </w:r>
            <w:r>
              <w:t xml:space="preserve"> dodatne - specifične opreme u cilju kompletiranja postojeće naučno-istraživačke i istraživačko-razvojne opreme koja će biti korištena za realizaciju projekta</w:t>
            </w:r>
          </w:p>
          <w:p w14:paraId="316E9A6C" w14:textId="09F1E407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 w:hanging="283"/>
            </w:pPr>
            <w:r>
              <w:t>materijaln</w:t>
            </w:r>
            <w:r>
              <w:t>i</w:t>
            </w:r>
            <w:r>
              <w:t xml:space="preserve"> troškov</w:t>
            </w:r>
            <w:r>
              <w:t>i</w:t>
            </w:r>
            <w:r>
              <w:t xml:space="preserve"> istraživanja (koji ne uključuju nabavku osnovne opreme za realizaciju naučno-istraživačkog ili istraživačko-razvojnog projekta, troškove studijskih putovanja i naučnih usavršavanja, nepredviđene troškove, troškove PDV-a, kao niti troškove publiciranja, odnosno nabavke knjiga ili udžbenika)</w:t>
            </w:r>
          </w:p>
          <w:p w14:paraId="7B26FFDE" w14:textId="0981CF21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 w:hanging="283"/>
            </w:pPr>
            <w:r>
              <w:t>usluge neophodne za realizaciju projekta prema finansijskom planu (koji ne uključuje matičnu instituciju kao troškovni element).</w:t>
            </w:r>
          </w:p>
          <w:p w14:paraId="2232D14D" w14:textId="77777777" w:rsidR="007D0A86" w:rsidRDefault="007D0A86" w:rsidP="007D0A86">
            <w:pPr>
              <w:pStyle w:val="ListParagraph"/>
              <w:ind w:left="750"/>
            </w:pPr>
          </w:p>
          <w:p w14:paraId="12942EF2" w14:textId="388D0373" w:rsidR="007D0A86" w:rsidRDefault="007D0A86" w:rsidP="007D0A86">
            <w:r>
              <w:t>Izuzetno, u okviru odobrenog iznosa  sredstva  u  maksimalnom  iznosu  od  po  2.000,00 KM mogu se utrošiti  za:</w:t>
            </w:r>
          </w:p>
          <w:p w14:paraId="59D9C7B0" w14:textId="73C67889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/>
            </w:pPr>
            <w:r>
              <w:t>učešće na jednom naučnom skupu i/ili troškove publiciranja jednog rada u referentnom časopisu za odgovarajuću naučnu oblast, odnosno „proceedings-u“, a u funkciji valorizacije uspješnog završetka projekta, na način predviđen tačkom 19. Poziva.</w:t>
            </w:r>
          </w:p>
          <w:p w14:paraId="12CE999C" w14:textId="77777777" w:rsidR="007D0A86" w:rsidRDefault="007D0A86" w:rsidP="007D0A86">
            <w:pPr>
              <w:pStyle w:val="ListParagraph"/>
              <w:ind w:left="750"/>
            </w:pPr>
          </w:p>
          <w:p w14:paraId="1AE7B404" w14:textId="6D4C6521" w:rsidR="007D0A86" w:rsidRDefault="007D0A86" w:rsidP="007D0A86">
            <w:r>
              <w:t>U budžetu projekta moguće je planirati sredstva u bruto iznosu maksimalno do 30% sredstava koja se traže od Federalnog ministarstva obrazovanja i nauke:</w:t>
            </w:r>
          </w:p>
          <w:p w14:paraId="45F1B5B9" w14:textId="3555C37B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/>
            </w:pPr>
            <w:r>
              <w:t>za rad članova tima, konsultanata i vanjskih saradnica/saradnika,</w:t>
            </w:r>
          </w:p>
          <w:p w14:paraId="64D563DB" w14:textId="40D5618B" w:rsidR="007D0A86" w:rsidRDefault="007D0A86" w:rsidP="007D0A86">
            <w:pPr>
              <w:pStyle w:val="ListParagraph"/>
              <w:numPr>
                <w:ilvl w:val="0"/>
                <w:numId w:val="3"/>
              </w:numPr>
              <w:ind w:left="625"/>
            </w:pPr>
            <w:r>
              <w:t>na ime usluga drugih institucija koje su u funkciji provođenja istraživanja,</w:t>
            </w:r>
          </w:p>
          <w:p w14:paraId="7BCB4BD2" w14:textId="1206A4E5" w:rsidR="008A43F2" w:rsidRPr="00C353B4" w:rsidRDefault="007D0A86" w:rsidP="007D0A86">
            <w:pPr>
              <w:pStyle w:val="ListParagraph"/>
              <w:numPr>
                <w:ilvl w:val="0"/>
                <w:numId w:val="3"/>
              </w:numPr>
              <w:ind w:left="625"/>
              <w:rPr>
                <w:u w:val="single"/>
              </w:rPr>
            </w:pPr>
            <w:r>
              <w:t>za nabavku softwera (ukoliko je to neophodno za realizaciju projekta).</w:t>
            </w:r>
            <w:r w:rsidR="00C353B4" w:rsidRPr="00C353B4">
              <w:t xml:space="preserve"> 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17560972" w:rsidR="008A43F2" w:rsidRDefault="006126FC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6F78A0BE" w14:textId="61DF75C8" w:rsidR="008A43F2" w:rsidRDefault="00161610" w:rsidP="00A66C82">
            <w:r>
              <w:t>R</w:t>
            </w:r>
            <w:r w:rsidRPr="00161610">
              <w:t>ežijski troškovi, plaće i naknade zaposlenih i sl.</w:t>
            </w:r>
            <w:r w:rsidR="00A66C82">
              <w:t xml:space="preserve">, </w:t>
            </w:r>
            <w:r w:rsidR="00A66C82" w:rsidRPr="00A66C82">
              <w:t>nabavk</w:t>
            </w:r>
            <w:r w:rsidR="00A66C82">
              <w:t>a</w:t>
            </w:r>
            <w:r w:rsidR="00A66C82" w:rsidRPr="00A66C82">
              <w:t xml:space="preserve"> osnovne opreme za realizaciju naučno-istraživačkog ili istraživačko-razvojnog projekta, troškov</w:t>
            </w:r>
            <w:r w:rsidR="00A66C82">
              <w:t>i</w:t>
            </w:r>
            <w:r w:rsidR="00A66C82" w:rsidRPr="00A66C82">
              <w:t xml:space="preserve"> studijskih putovanja i naučnih usavršavanja, nepredviđen</w:t>
            </w:r>
            <w:r w:rsidR="00A66C82">
              <w:t>i</w:t>
            </w:r>
            <w:r w:rsidR="00A66C82" w:rsidRPr="00A66C82">
              <w:t xml:space="preserve"> troškov</w:t>
            </w:r>
            <w:r w:rsidR="00A66C82">
              <w:t>i</w:t>
            </w:r>
            <w:r w:rsidR="00A66C82" w:rsidRPr="00A66C82">
              <w:t>, troškov</w:t>
            </w:r>
            <w:r w:rsidR="00A66C82">
              <w:t>i</w:t>
            </w:r>
            <w:r w:rsidR="00A66C82" w:rsidRPr="00A66C82">
              <w:t xml:space="preserve"> PDV-a</w:t>
            </w:r>
            <w:r w:rsidR="00A87983">
              <w:t xml:space="preserve"> (dodatni)</w:t>
            </w:r>
            <w:bookmarkStart w:id="0" w:name="_GoBack"/>
            <w:bookmarkEnd w:id="0"/>
            <w:r w:rsidR="00A66C82" w:rsidRPr="00A66C82">
              <w:t>, kao niti troškov</w:t>
            </w:r>
            <w:r w:rsidR="00A66C82">
              <w:t>i</w:t>
            </w:r>
            <w:r w:rsidR="00A66C82" w:rsidRPr="00A66C82">
              <w:t xml:space="preserve"> publiciranja, odnosno nabavke knjiga ili udžbenika</w:t>
            </w:r>
            <w:r w:rsidR="00A66C82">
              <w:t>.</w:t>
            </w:r>
          </w:p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573D2A19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finansiralo/sufinansiralo projekat.</w:t>
            </w:r>
          </w:p>
          <w:p w14:paraId="3D3631C9" w14:textId="3B91C0AF" w:rsidR="00A66C82" w:rsidRDefault="00A66C82" w:rsidP="00A66C8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Institucije, čiji naučno-istraživački i istraživačko-razvojni projekti budu odobreni za finansiranje/sufinansiranje, dužne su u roku od mjesec dana od dana potpisivanja ugovora organizirati javno predstavljanje odobrenih projekata i o tome obavezno blagovremeno obavijestiti </w:t>
            </w:r>
            <w:r>
              <w:t>Ministarstvo</w:t>
            </w:r>
            <w:r>
              <w:t xml:space="preserve">. </w:t>
            </w:r>
          </w:p>
          <w:p w14:paraId="6320D392" w14:textId="77777777" w:rsidR="00A66C82" w:rsidRDefault="00A66C82" w:rsidP="00A66C8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Informacija o javnom predstavljanju odobrenog/ih projek(a)ta obavezno se objavljuje na službenoj web stranici institucije najmanje pet dana prije njegovog održavanja. </w:t>
            </w:r>
          </w:p>
          <w:p w14:paraId="6C614F26" w14:textId="5B90DA56" w:rsidR="008A43F2" w:rsidRDefault="00A66C82" w:rsidP="00A66C8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Institucije koje podnose prijavu moraju dostaviti izjavu o spremnosti za organizaciju javne prezentacije predloženog projekta, ako isti bude odobren za finansiranje/sufinansiranje.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04E13E19" w14:textId="77777777" w:rsidR="000545E2" w:rsidRDefault="001534F8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7FEC39AA" w14:textId="17CAAA8F" w:rsidR="006567C9" w:rsidRPr="006567C9" w:rsidRDefault="006567C9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549F95EE" w14:textId="77777777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  <w:p w14:paraId="0269D1FC" w14:textId="07C2BB7E" w:rsidR="00A66C82" w:rsidRDefault="00A66C82" w:rsidP="00A66C82">
            <w:pPr>
              <w:pStyle w:val="ListParagraph"/>
              <w:ind w:left="342"/>
            </w:pP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20604153" w14:textId="77777777" w:rsidR="00A66C82" w:rsidRDefault="00A66C82" w:rsidP="006126FC"/>
          <w:p w14:paraId="290B9208" w14:textId="77777777" w:rsidR="008A43F2" w:rsidRDefault="00A66C82" w:rsidP="006126FC">
            <w:r w:rsidRPr="00A66C82">
              <w:t>Savjet za nauku Federalnog ministarstva obrazovanja i nauke izvršit će ocjenu sadržaja podnijetih prijava u pogledu podobnosti, originalnosti, aktuelnosti, kvaliteta predloženih istraživanja, vrijednosti očekivanih rezultata, podobnosti podnosioca prijave i voditeljice/voditelja projekta, rokova, vremenskog okvira realizacije i ukupne cijene projekta.</w:t>
            </w:r>
          </w:p>
          <w:p w14:paraId="1AC3A615" w14:textId="27B6C0B4" w:rsidR="00A66C82" w:rsidRDefault="00A66C82" w:rsidP="006126FC"/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373C16F3" w14:textId="77777777" w:rsidR="00A66C82" w:rsidRDefault="00A66C82" w:rsidP="009B6EE9"/>
          <w:p w14:paraId="2B8313D5" w14:textId="3BEE122D" w:rsidR="008A43F2" w:rsidRDefault="009B6EE9" w:rsidP="00A87983">
            <w:pPr>
              <w:pStyle w:val="ListParagraph"/>
              <w:numPr>
                <w:ilvl w:val="0"/>
                <w:numId w:val="6"/>
              </w:numPr>
              <w:ind w:left="342" w:hanging="284"/>
            </w:pPr>
            <w:r>
              <w:t xml:space="preserve">Prigovori se mogu uložiti u roku od osam dana od dana objave </w:t>
            </w:r>
            <w:r w:rsidR="00A66C82">
              <w:t xml:space="preserve">rezultata </w:t>
            </w:r>
            <w:r>
              <w:t>na web stranici Ministarstva.</w:t>
            </w:r>
          </w:p>
          <w:p w14:paraId="6DD6C8F6" w14:textId="77777777" w:rsidR="009B6EE9" w:rsidRDefault="009B6EE9" w:rsidP="00A87983">
            <w:pPr>
              <w:pStyle w:val="ListParagraph"/>
              <w:numPr>
                <w:ilvl w:val="0"/>
                <w:numId w:val="6"/>
              </w:numPr>
              <w:ind w:left="342" w:hanging="284"/>
            </w:pPr>
            <w:r>
              <w:t>Prigovori se podnose pismeno na adresu Federalnog ministarstva obrazovanja i nauke na način opisan pod tačkom 16. ovog Uputstva.</w:t>
            </w:r>
          </w:p>
          <w:p w14:paraId="1A3A425D" w14:textId="17493083" w:rsidR="00A66C82" w:rsidRDefault="00A66C82" w:rsidP="009B6EE9"/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65EF56AF" w14:textId="77777777" w:rsidR="00A66C82" w:rsidRDefault="00A66C82" w:rsidP="006126FC"/>
          <w:p w14:paraId="2DCD9B8C" w14:textId="77777777" w:rsidR="008A43F2" w:rsidRDefault="001534F8" w:rsidP="006126FC">
            <w:r w:rsidRPr="001534F8">
              <w:t>Sa korisnicima sredstava, federaln</w:t>
            </w:r>
            <w:r w:rsidR="006126FC">
              <w:t>a ministrica</w:t>
            </w:r>
            <w:r w:rsidRPr="001534F8">
              <w:t xml:space="preserve"> obrazovanja i nauke će potpisati posebne ugovore o realizaciji dodijeljenih sredstava, kojim će se regulirati način i rokovi utroška sredstava i izvještavanje.</w:t>
            </w:r>
          </w:p>
          <w:p w14:paraId="57031E70" w14:textId="29DD6738" w:rsidR="00A66C82" w:rsidRDefault="00A66C82" w:rsidP="006126FC"/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6137CDAC" w14:textId="77777777" w:rsidR="00A66C82" w:rsidRDefault="00A66C82" w:rsidP="00531CAA"/>
          <w:p w14:paraId="335439EA" w14:textId="77777777" w:rsidR="008A43F2" w:rsidRDefault="00827553" w:rsidP="00531CAA">
            <w:r>
              <w:t xml:space="preserve">U skladu sa ugovorom o realizaciji projekta, korisnik je obavezan dostaviti izvještaj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 xml:space="preserve">Ukoliko Korisnik sredstava ne dostavi izvještaj o namjenskom 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8000F4" w:rsidRPr="008000F4">
              <w:t>ne dostavi izvještaj o namjenskom utrošku dodijeljenih sredstava ili sredstva utroši nenamjenski, Ministarstvo će putem nadležnih organa poduzeti odgovarajuće mjere u skladu sa zakonom.</w:t>
            </w:r>
          </w:p>
          <w:p w14:paraId="76DD9789" w14:textId="34DA3C9E" w:rsidR="00A66C82" w:rsidRDefault="00A66C82" w:rsidP="00531CAA"/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77C279ED" w:rsidR="008A43F2" w:rsidRDefault="00A66C82" w:rsidP="00531CAA">
            <w:r>
              <w:t>S</w:t>
            </w:r>
            <w:r w:rsidR="00A22490">
              <w:t>eptembar</w:t>
            </w:r>
            <w:r>
              <w:t>-novembar</w:t>
            </w:r>
            <w:r w:rsidR="00A22490">
              <w:t xml:space="preserve"> 2024.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1648F3EE" w14:textId="77777777" w:rsidR="00A66C82" w:rsidRDefault="00A66C82" w:rsidP="00531CAA">
            <w:pPr>
              <w:rPr>
                <w:b/>
                <w:bCs/>
                <w:color w:val="FF0000"/>
              </w:rPr>
            </w:pPr>
          </w:p>
          <w:p w14:paraId="7260ADCB" w14:textId="338BD3CB" w:rsidR="008A43F2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Datum objave Javnog poziva: </w:t>
            </w:r>
            <w:r w:rsidR="00A66C82">
              <w:rPr>
                <w:b/>
                <w:bCs/>
                <w:color w:val="FF0000"/>
              </w:rPr>
              <w:t>06.09.</w:t>
            </w:r>
            <w:r w:rsidRPr="00810C36">
              <w:rPr>
                <w:b/>
                <w:bCs/>
                <w:color w:val="FF0000"/>
              </w:rPr>
              <w:t>2024.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1FFB428D" w:rsidR="003D5024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Rok za podnošenje prijava: </w:t>
            </w:r>
            <w:r w:rsidR="00A66C82">
              <w:rPr>
                <w:rFonts w:cstheme="minorHAnsi"/>
                <w:b/>
                <w:color w:val="FF0000"/>
              </w:rPr>
              <w:t>27.09</w:t>
            </w:r>
            <w:r w:rsidR="00E66AFB" w:rsidRPr="00E66AFB">
              <w:rPr>
                <w:rFonts w:cstheme="minorHAnsi"/>
                <w:b/>
                <w:color w:val="FF0000"/>
              </w:rPr>
              <w:t>.2024. godine</w:t>
            </w:r>
          </w:p>
          <w:p w14:paraId="4E46C3B3" w14:textId="77777777" w:rsidR="003D5024" w:rsidRDefault="003D5024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49AAABC0" w:rsidR="003D5024" w:rsidRDefault="003D5024" w:rsidP="003D5024">
            <w:r w:rsidRPr="003D5024">
              <w:t>Sa napomenom: „</w:t>
            </w:r>
            <w:r w:rsidR="00A66C82" w:rsidRPr="00A66C82">
              <w:t xml:space="preserve">Prijava na Konkurs za naučno-istraživačke i istraživačko-razvojne projekte </w:t>
            </w:r>
            <w:r w:rsidRPr="003D5024">
              <w:t>– ne otvarati“</w:t>
            </w:r>
          </w:p>
          <w:p w14:paraId="762515A9" w14:textId="77777777" w:rsidR="003D5024" w:rsidRDefault="003D5024" w:rsidP="003D5024"/>
          <w:p w14:paraId="170921BA" w14:textId="77777777" w:rsidR="00A66C82" w:rsidRDefault="00A66C82" w:rsidP="003D5024">
            <w:pPr>
              <w:rPr>
                <w:b/>
                <w:bCs/>
              </w:rPr>
            </w:pPr>
          </w:p>
          <w:p w14:paraId="7EE1362F" w14:textId="5E588466" w:rsidR="003D5024" w:rsidRPr="000843B5" w:rsidRDefault="00FE0BFB" w:rsidP="003D50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D5024" w:rsidRPr="000843B5">
              <w:rPr>
                <w:b/>
                <w:bCs/>
              </w:rPr>
              <w:t>Način dostave prijave programa ili projekta:</w:t>
            </w:r>
          </w:p>
          <w:p w14:paraId="626400C6" w14:textId="77777777" w:rsidR="00A87983" w:rsidRDefault="00A87983" w:rsidP="003D5024"/>
          <w:p w14:paraId="54ED77B6" w14:textId="26CEB0DE" w:rsidR="003D5024" w:rsidRDefault="003D5024" w:rsidP="003D5024">
            <w:r w:rsidRPr="003D5024">
              <w:t>Zahtjev sa kompletnom dokumentacijom obavezno se podnosi u istoj koverti u 2 odvojena i uvezana primjerka (original i kopija) putem pošte</w:t>
            </w:r>
            <w:r w:rsidR="008000F4">
              <w:t xml:space="preserve"> ili lično na Protokol Ministarstva</w:t>
            </w:r>
            <w:r>
              <w:t xml:space="preserve">.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2F2B2F9F" w14:textId="77777777" w:rsidR="00A87983" w:rsidRDefault="00A87983" w:rsidP="00A87983"/>
          <w:p w14:paraId="1C11FFEA" w14:textId="317E9AC0" w:rsidR="000843B5" w:rsidRPr="00A87983" w:rsidRDefault="000843B5" w:rsidP="00A87983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>svakim radnim danom od 8.00 do 16.00 sati u Sektoru z</w:t>
            </w:r>
            <w:r w:rsidR="00A87983">
              <w:t>a nauku i tehnologije na broj</w:t>
            </w:r>
            <w:r>
              <w:t xml:space="preserve"> telefona:</w:t>
            </w:r>
            <w:r w:rsidR="00A87983">
              <w:t xml:space="preserve"> </w:t>
            </w:r>
            <w:r w:rsidRPr="000843B5">
              <w:t>036/355-71</w:t>
            </w:r>
            <w:r>
              <w:t>8</w:t>
            </w:r>
            <w:r w:rsidR="00A87983">
              <w:t>.</w:t>
            </w:r>
          </w:p>
          <w:p w14:paraId="53C0B338" w14:textId="3FA39F54" w:rsidR="000843B5" w:rsidRDefault="000843B5" w:rsidP="00A87983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60"/>
    <w:multiLevelType w:val="hybridMultilevel"/>
    <w:tmpl w:val="807A4820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63E"/>
    <w:multiLevelType w:val="hybridMultilevel"/>
    <w:tmpl w:val="12523438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AC5"/>
    <w:multiLevelType w:val="hybridMultilevel"/>
    <w:tmpl w:val="47E0C706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04C60E8"/>
    <w:multiLevelType w:val="hybridMultilevel"/>
    <w:tmpl w:val="8578C14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22D47"/>
    <w:rsid w:val="001534F8"/>
    <w:rsid w:val="00161610"/>
    <w:rsid w:val="00180C3E"/>
    <w:rsid w:val="003430D1"/>
    <w:rsid w:val="0036621D"/>
    <w:rsid w:val="003D5024"/>
    <w:rsid w:val="00456BE5"/>
    <w:rsid w:val="00463283"/>
    <w:rsid w:val="00493BB0"/>
    <w:rsid w:val="00531CAA"/>
    <w:rsid w:val="006126FC"/>
    <w:rsid w:val="0064482B"/>
    <w:rsid w:val="006567C9"/>
    <w:rsid w:val="006D6D24"/>
    <w:rsid w:val="00722A74"/>
    <w:rsid w:val="007C2E94"/>
    <w:rsid w:val="007D0A86"/>
    <w:rsid w:val="007D3850"/>
    <w:rsid w:val="008000F4"/>
    <w:rsid w:val="00810C36"/>
    <w:rsid w:val="00827553"/>
    <w:rsid w:val="00827C93"/>
    <w:rsid w:val="008A43F2"/>
    <w:rsid w:val="0090497E"/>
    <w:rsid w:val="00962FDE"/>
    <w:rsid w:val="009B6EE9"/>
    <w:rsid w:val="009D642D"/>
    <w:rsid w:val="00A22490"/>
    <w:rsid w:val="00A40C84"/>
    <w:rsid w:val="00A51A77"/>
    <w:rsid w:val="00A66C82"/>
    <w:rsid w:val="00A87983"/>
    <w:rsid w:val="00AF1841"/>
    <w:rsid w:val="00C353B4"/>
    <w:rsid w:val="00C93581"/>
    <w:rsid w:val="00CA6400"/>
    <w:rsid w:val="00CD3D81"/>
    <w:rsid w:val="00DD3831"/>
    <w:rsid w:val="00E36A09"/>
    <w:rsid w:val="00E66AFB"/>
    <w:rsid w:val="00EF6EB2"/>
    <w:rsid w:val="00F11788"/>
    <w:rsid w:val="00F4163F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2024-06-10T13:37:00Z</cp:lastPrinted>
  <dcterms:created xsi:type="dcterms:W3CDTF">2024-02-14T13:01:00Z</dcterms:created>
  <dcterms:modified xsi:type="dcterms:W3CDTF">2024-09-04T13:49:00Z</dcterms:modified>
</cp:coreProperties>
</file>